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32FC" w14:textId="670F97A1" w:rsidR="00AB3453" w:rsidRPr="00E13A68" w:rsidRDefault="00AB3453" w:rsidP="00A9051B">
      <w:pPr>
        <w:spacing w:line="240" w:lineRule="auto"/>
        <w:rPr>
          <w:rFonts w:ascii="Ink Free" w:hAnsi="Ink Free"/>
          <w:b/>
          <w:bCs/>
          <w:color w:val="000000"/>
          <w:sz w:val="32"/>
          <w:szCs w:val="32"/>
          <w:shd w:val="clear" w:color="auto" w:fill="FCFCFC"/>
        </w:rPr>
      </w:pPr>
      <w:r w:rsidRPr="00E13A68">
        <w:rPr>
          <w:rFonts w:ascii="Ink Free" w:hAnsi="Ink Free"/>
          <w:b/>
          <w:bCs/>
          <w:color w:val="000000"/>
          <w:sz w:val="32"/>
          <w:szCs w:val="32"/>
          <w:shd w:val="clear" w:color="auto" w:fill="FCFCFC"/>
        </w:rPr>
        <w:t>Occupancy guidelines</w:t>
      </w:r>
    </w:p>
    <w:p w14:paraId="72EDCE45" w14:textId="484571BF" w:rsidR="00AB3453" w:rsidRPr="00E13A68" w:rsidRDefault="00AB3453" w:rsidP="00A9051B">
      <w:pPr>
        <w:spacing w:line="240" w:lineRule="auto"/>
        <w:rPr>
          <w:rFonts w:ascii="Ink Free" w:hAnsi="Ink Free"/>
        </w:rPr>
      </w:pPr>
      <w:r w:rsidRPr="00E13A68">
        <w:rPr>
          <w:rFonts w:ascii="Ink Free" w:hAnsi="Ink Free"/>
        </w:rPr>
        <w:t xml:space="preserve">The maximum occupancy per home is two persons per bedroom, plus one*. </w:t>
      </w:r>
      <w:r w:rsidR="00E13A68">
        <w:rPr>
          <w:rFonts w:ascii="Ink Free" w:hAnsi="Ink Free"/>
        </w:rPr>
        <w:t>O</w:t>
      </w:r>
      <w:r w:rsidR="00E13A68" w:rsidRPr="00E13A68">
        <w:rPr>
          <w:rFonts w:ascii="Ink Free" w:hAnsi="Ink Free"/>
        </w:rPr>
        <w:t>ccupancy guidelines do not apply to children under one year old</w:t>
      </w:r>
      <w:r w:rsidR="00E13A68">
        <w:rPr>
          <w:rFonts w:ascii="Ink Free" w:hAnsi="Ink Free"/>
        </w:rPr>
        <w:t>.</w:t>
      </w:r>
      <w:r w:rsidR="00E13A68" w:rsidRPr="00E13A68">
        <w:rPr>
          <w:rFonts w:ascii="Ink Free" w:hAnsi="Ink Free"/>
        </w:rPr>
        <w:t xml:space="preserve"> </w:t>
      </w:r>
      <w:r w:rsidRPr="00E13A68">
        <w:rPr>
          <w:rFonts w:ascii="Ink Free" w:hAnsi="Ink Free"/>
        </w:rPr>
        <w:t xml:space="preserve">Any </w:t>
      </w:r>
      <w:r w:rsidRPr="00E13A68">
        <w:rPr>
          <w:rFonts w:ascii="Ink Free" w:hAnsi="Ink Free"/>
        </w:rPr>
        <w:t>household</w:t>
      </w:r>
      <w:r w:rsidRPr="00E13A68">
        <w:rPr>
          <w:rFonts w:ascii="Ink Free" w:hAnsi="Ink Free"/>
        </w:rPr>
        <w:t xml:space="preserve"> who </w:t>
      </w:r>
      <w:r w:rsidR="00E13A68" w:rsidRPr="00E13A68">
        <w:rPr>
          <w:rFonts w:ascii="Ink Free" w:hAnsi="Ink Free"/>
        </w:rPr>
        <w:t>exceeds</w:t>
      </w:r>
      <w:r w:rsidRPr="00E13A68">
        <w:rPr>
          <w:rFonts w:ascii="Ink Free" w:hAnsi="Ink Free"/>
        </w:rPr>
        <w:t xml:space="preserve"> these occupancy standards during their lease term will be required, upon the end of the current lease term, to either:</w:t>
      </w:r>
    </w:p>
    <w:p w14:paraId="165F875D" w14:textId="5651A29F" w:rsidR="00AB3453" w:rsidRPr="00E13A68" w:rsidRDefault="00AB3453" w:rsidP="00A9051B">
      <w:pPr>
        <w:pStyle w:val="ListParagraph"/>
        <w:numPr>
          <w:ilvl w:val="0"/>
          <w:numId w:val="1"/>
        </w:numPr>
        <w:spacing w:line="240" w:lineRule="auto"/>
        <w:rPr>
          <w:rFonts w:ascii="Ink Free" w:hAnsi="Ink Free"/>
        </w:rPr>
      </w:pPr>
      <w:r w:rsidRPr="00E13A68">
        <w:rPr>
          <w:rFonts w:ascii="Ink Free" w:hAnsi="Ink Free"/>
        </w:rPr>
        <w:t>Move into a home or unit that meets their current occupancy needs</w:t>
      </w:r>
      <w:r w:rsidR="00E13A68" w:rsidRPr="00E13A68">
        <w:rPr>
          <w:rFonts w:ascii="Ink Free" w:hAnsi="Ink Free"/>
        </w:rPr>
        <w:t>.</w:t>
      </w:r>
    </w:p>
    <w:p w14:paraId="65466371" w14:textId="5A06EA26" w:rsidR="00AB3453" w:rsidRPr="00E13A68" w:rsidRDefault="00E13A68" w:rsidP="00A9051B">
      <w:pPr>
        <w:pStyle w:val="ListParagraph"/>
        <w:numPr>
          <w:ilvl w:val="0"/>
          <w:numId w:val="1"/>
        </w:numPr>
        <w:spacing w:line="240" w:lineRule="auto"/>
        <w:rPr>
          <w:rFonts w:ascii="Ink Free" w:hAnsi="Ink Free"/>
        </w:rPr>
      </w:pPr>
      <w:r w:rsidRPr="00E13A68">
        <w:rPr>
          <w:rFonts w:ascii="Ink Free" w:hAnsi="Ink Free"/>
        </w:rPr>
        <w:t>Move out.</w:t>
      </w:r>
    </w:p>
    <w:p w14:paraId="7B42E857" w14:textId="3F66C915" w:rsidR="00E13A68" w:rsidRDefault="00AB3453" w:rsidP="00A9051B">
      <w:pPr>
        <w:spacing w:line="240" w:lineRule="auto"/>
        <w:rPr>
          <w:rFonts w:ascii="Ink Free" w:hAnsi="Ink Free"/>
        </w:rPr>
      </w:pPr>
      <w:r w:rsidRPr="00E13A68">
        <w:rPr>
          <w:rFonts w:ascii="Ink Free" w:hAnsi="Ink Free"/>
        </w:rPr>
        <w:t>*</w:t>
      </w:r>
      <w:r w:rsidRPr="00E13A68">
        <w:rPr>
          <w:rFonts w:ascii="Ink Free" w:hAnsi="Ink Free"/>
        </w:rPr>
        <w:t xml:space="preserve">Contact </w:t>
      </w:r>
      <w:r w:rsidRPr="00E13A68">
        <w:rPr>
          <w:rFonts w:ascii="Ink Free" w:hAnsi="Ink Free"/>
        </w:rPr>
        <w:t xml:space="preserve">TRU </w:t>
      </w:r>
      <w:r w:rsidR="00E13A68" w:rsidRPr="00E13A68">
        <w:rPr>
          <w:rFonts w:ascii="Ink Free" w:hAnsi="Ink Free"/>
        </w:rPr>
        <w:t>Mgmt.</w:t>
      </w:r>
      <w:r w:rsidRPr="00E13A68">
        <w:rPr>
          <w:rFonts w:ascii="Ink Free" w:hAnsi="Ink Free"/>
        </w:rPr>
        <w:t xml:space="preserve"> for further details as Occupancy Guidelines are subject to local laws and Homeowners Association (“HOA”) requirements.</w:t>
      </w:r>
    </w:p>
    <w:p w14:paraId="653CF555" w14:textId="77777777" w:rsidR="00720BBA" w:rsidRPr="00720BBA" w:rsidRDefault="00720BBA" w:rsidP="00A9051B">
      <w:pPr>
        <w:spacing w:line="240" w:lineRule="auto"/>
        <w:rPr>
          <w:rFonts w:ascii="Ink Free" w:hAnsi="Ink Free"/>
        </w:rPr>
      </w:pPr>
    </w:p>
    <w:p w14:paraId="13DE19AD" w14:textId="29821794" w:rsidR="00E13A68" w:rsidRDefault="00E13A68" w:rsidP="00A9051B">
      <w:pPr>
        <w:spacing w:line="240" w:lineRule="auto"/>
        <w:rPr>
          <w:rFonts w:ascii="Ink Free" w:hAnsi="Ink Free"/>
          <w:b/>
          <w:bCs/>
          <w:color w:val="000000"/>
          <w:sz w:val="32"/>
          <w:szCs w:val="32"/>
          <w:shd w:val="clear" w:color="auto" w:fill="FCFCFC"/>
        </w:rPr>
      </w:pPr>
      <w:r>
        <w:rPr>
          <w:rFonts w:ascii="Ink Free" w:hAnsi="Ink Free"/>
          <w:b/>
          <w:bCs/>
          <w:color w:val="000000"/>
          <w:sz w:val="32"/>
          <w:szCs w:val="32"/>
          <w:shd w:val="clear" w:color="auto" w:fill="FCFCFC"/>
        </w:rPr>
        <w:t>Application</w:t>
      </w:r>
    </w:p>
    <w:p w14:paraId="15FF420C" w14:textId="2C559236" w:rsidR="00E13A68" w:rsidRPr="009045A3" w:rsidRDefault="00E13A68" w:rsidP="00A9051B">
      <w:pPr>
        <w:pStyle w:val="ListParagraph"/>
        <w:numPr>
          <w:ilvl w:val="0"/>
          <w:numId w:val="2"/>
        </w:numPr>
        <w:spacing w:line="240" w:lineRule="auto"/>
        <w:rPr>
          <w:rFonts w:ascii="Ink Free" w:hAnsi="Ink Free"/>
        </w:rPr>
      </w:pPr>
      <w:r w:rsidRPr="009045A3">
        <w:rPr>
          <w:rFonts w:ascii="Ink Free" w:hAnsi="Ink Free"/>
        </w:rPr>
        <w:t>All persons 18 years of age occupying the property are required to complete an application.</w:t>
      </w:r>
    </w:p>
    <w:p w14:paraId="7ECF5976" w14:textId="6A34D3BA" w:rsidR="00E13A68" w:rsidRDefault="00E13A68" w:rsidP="00A9051B">
      <w:pPr>
        <w:pStyle w:val="ListParagraph"/>
        <w:numPr>
          <w:ilvl w:val="0"/>
          <w:numId w:val="2"/>
        </w:numPr>
        <w:spacing w:line="240" w:lineRule="auto"/>
        <w:rPr>
          <w:rFonts w:ascii="Ink Free" w:hAnsi="Ink Free"/>
        </w:rPr>
      </w:pPr>
      <w:r w:rsidRPr="009045A3">
        <w:rPr>
          <w:rFonts w:ascii="Ink Free" w:hAnsi="Ink Free"/>
        </w:rPr>
        <w:t>All persons occupying the property must be identified in the application; this includes all minors under the age of 18.</w:t>
      </w:r>
    </w:p>
    <w:p w14:paraId="07AB7CF6" w14:textId="61A3CF09" w:rsidR="009045A3" w:rsidRDefault="009045A3" w:rsidP="00A9051B">
      <w:pPr>
        <w:pStyle w:val="ListParagraph"/>
        <w:numPr>
          <w:ilvl w:val="0"/>
          <w:numId w:val="2"/>
        </w:numPr>
        <w:spacing w:line="240" w:lineRule="auto"/>
        <w:rPr>
          <w:rFonts w:ascii="Ink Free" w:hAnsi="Ink Free"/>
        </w:rPr>
      </w:pPr>
      <w:r w:rsidRPr="009045A3">
        <w:rPr>
          <w:rFonts w:ascii="Ink Free" w:hAnsi="Ink Free"/>
        </w:rPr>
        <w:t>Provide documentation including a valid government-issued photo ID</w:t>
      </w:r>
      <w:r>
        <w:rPr>
          <w:rFonts w:ascii="Ink Free" w:hAnsi="Ink Free"/>
        </w:rPr>
        <w:t xml:space="preserve"> and SS Card</w:t>
      </w:r>
    </w:p>
    <w:p w14:paraId="4E49B866" w14:textId="33AD49D9" w:rsidR="009045A3" w:rsidRDefault="009045A3" w:rsidP="00A9051B">
      <w:pPr>
        <w:pStyle w:val="ListParagraph"/>
        <w:numPr>
          <w:ilvl w:val="0"/>
          <w:numId w:val="2"/>
        </w:numPr>
        <w:spacing w:line="240" w:lineRule="auto"/>
        <w:rPr>
          <w:rFonts w:ascii="Ink Free" w:hAnsi="Ink Free"/>
        </w:rPr>
      </w:pPr>
      <w:r w:rsidRPr="009045A3">
        <w:rPr>
          <w:rFonts w:ascii="Ink Free" w:hAnsi="Ink Free"/>
        </w:rPr>
        <w:t>Undergo the applicable screening process</w:t>
      </w:r>
    </w:p>
    <w:p w14:paraId="70A8F56E" w14:textId="18B87B9E" w:rsidR="00E13A68" w:rsidRPr="00A9051B" w:rsidRDefault="001B0F82" w:rsidP="00A9051B">
      <w:pPr>
        <w:pStyle w:val="ListParagraph"/>
        <w:numPr>
          <w:ilvl w:val="0"/>
          <w:numId w:val="2"/>
        </w:numPr>
        <w:spacing w:line="240" w:lineRule="auto"/>
        <w:rPr>
          <w:rFonts w:ascii="Ink Free" w:hAnsi="Ink Free"/>
        </w:rPr>
      </w:pPr>
      <w:r w:rsidRPr="001B0F82">
        <w:rPr>
          <w:rFonts w:ascii="Ink Free" w:hAnsi="Ink Free"/>
        </w:rPr>
        <w:t>Pay a $50 non-refundable application fee</w:t>
      </w:r>
      <w:r>
        <w:rPr>
          <w:rFonts w:ascii="Ink Free" w:hAnsi="Ink Free"/>
        </w:rPr>
        <w:t xml:space="preserve"> per applicant </w:t>
      </w:r>
    </w:p>
    <w:p w14:paraId="4CF3C2AF" w14:textId="786B180A" w:rsidR="00720BBA" w:rsidRDefault="00720BBA" w:rsidP="00A9051B">
      <w:pPr>
        <w:spacing w:line="240" w:lineRule="auto"/>
        <w:rPr>
          <w:rFonts w:ascii="Ink Free" w:hAnsi="Ink Free"/>
          <w:b/>
          <w:bCs/>
          <w:color w:val="000000"/>
          <w:sz w:val="32"/>
          <w:szCs w:val="32"/>
          <w:shd w:val="clear" w:color="auto" w:fill="FCFCFC"/>
        </w:rPr>
      </w:pPr>
      <w:r>
        <w:rPr>
          <w:rFonts w:ascii="Ink Free" w:hAnsi="Ink Free"/>
          <w:b/>
          <w:bCs/>
          <w:color w:val="000000"/>
          <w:sz w:val="32"/>
          <w:szCs w:val="32"/>
          <w:shd w:val="clear" w:color="auto" w:fill="FCFCFC"/>
        </w:rPr>
        <w:t>Income</w:t>
      </w:r>
    </w:p>
    <w:p w14:paraId="3F8627F3" w14:textId="3D8539B1" w:rsidR="00A9051B" w:rsidRDefault="00A9051B" w:rsidP="00A9051B">
      <w:pPr>
        <w:spacing w:line="240" w:lineRule="auto"/>
        <w:rPr>
          <w:rFonts w:ascii="Ink Free" w:hAnsi="Ink Free"/>
          <w:color w:val="000000"/>
          <w:shd w:val="clear" w:color="auto" w:fill="FCFCFC"/>
        </w:rPr>
      </w:pPr>
      <w:r w:rsidRPr="00A9051B">
        <w:rPr>
          <w:rFonts w:ascii="Ink Free" w:hAnsi="Ink Free"/>
          <w:color w:val="000000"/>
          <w:shd w:val="clear" w:color="auto" w:fill="FCFCFC"/>
        </w:rPr>
        <w:t xml:space="preserve">Applicants (leaseholders) are required to provide </w:t>
      </w:r>
      <w:r>
        <w:rPr>
          <w:rFonts w:ascii="Ink Free" w:hAnsi="Ink Free"/>
          <w:color w:val="000000"/>
          <w:shd w:val="clear" w:color="auto" w:fill="FCFCFC"/>
        </w:rPr>
        <w:t xml:space="preserve">documentation </w:t>
      </w:r>
      <w:r w:rsidRPr="00A9051B">
        <w:rPr>
          <w:rFonts w:ascii="Ink Free" w:hAnsi="Ink Free"/>
          <w:color w:val="000000"/>
          <w:shd w:val="clear" w:color="auto" w:fill="FCFCFC"/>
        </w:rPr>
        <w:t>of a combined gross monthly income of</w:t>
      </w:r>
      <w:r>
        <w:rPr>
          <w:rFonts w:ascii="Ink Free" w:hAnsi="Ink Free"/>
          <w:color w:val="000000"/>
          <w:shd w:val="clear" w:color="auto" w:fill="FCFCFC"/>
        </w:rPr>
        <w:t xml:space="preserve"> </w:t>
      </w:r>
      <w:r w:rsidR="000B11F3">
        <w:rPr>
          <w:rFonts w:ascii="Ink Free" w:hAnsi="Ink Free"/>
          <w:color w:val="000000"/>
          <w:shd w:val="clear" w:color="auto" w:fill="FCFCFC"/>
        </w:rPr>
        <w:t xml:space="preserve">minimum </w:t>
      </w:r>
      <w:r w:rsidRPr="00A9051B">
        <w:rPr>
          <w:rFonts w:ascii="Ink Free" w:hAnsi="Ink Free"/>
          <w:color w:val="000000"/>
          <w:shd w:val="clear" w:color="auto" w:fill="FCFCFC"/>
        </w:rPr>
        <w:t>three times the monthly rent.</w:t>
      </w:r>
    </w:p>
    <w:p w14:paraId="3B031EA8" w14:textId="308D2B9C" w:rsidR="000B11F3" w:rsidRDefault="000B11F3" w:rsidP="00A9051B">
      <w:pPr>
        <w:spacing w:line="240" w:lineRule="auto"/>
        <w:rPr>
          <w:rFonts w:ascii="Ink Free" w:hAnsi="Ink Free"/>
          <w:color w:val="000000"/>
          <w:shd w:val="clear" w:color="auto" w:fill="FCFCFC"/>
        </w:rPr>
      </w:pPr>
      <w:r w:rsidRPr="000B11F3">
        <w:rPr>
          <w:rFonts w:ascii="Ink Free" w:hAnsi="Ink Free"/>
          <w:b/>
          <w:bCs/>
          <w:color w:val="000000"/>
          <w:shd w:val="clear" w:color="auto" w:fill="FCFCFC"/>
        </w:rPr>
        <w:t>Employment:</w:t>
      </w:r>
      <w:r w:rsidRPr="000B11F3">
        <w:rPr>
          <w:rFonts w:ascii="Ink Free" w:hAnsi="Ink Free"/>
          <w:color w:val="000000"/>
          <w:shd w:val="clear" w:color="auto" w:fill="FCFCFC"/>
        </w:rPr>
        <w:t xml:space="preserve"> Applicants are required to provide proof of income for the past four (4) consecutive weeks unless otherwise advised by a representative of </w:t>
      </w:r>
      <w:r>
        <w:rPr>
          <w:rFonts w:ascii="Ink Free" w:hAnsi="Ink Free"/>
          <w:color w:val="000000"/>
          <w:shd w:val="clear" w:color="auto" w:fill="FCFCFC"/>
        </w:rPr>
        <w:t>TRU Mgmt.</w:t>
      </w:r>
      <w:r w:rsidRPr="000B11F3">
        <w:rPr>
          <w:rFonts w:ascii="Ink Free" w:hAnsi="Ink Free"/>
          <w:color w:val="000000"/>
          <w:shd w:val="clear" w:color="auto" w:fill="FCFCFC"/>
        </w:rPr>
        <w:t xml:space="preserve"> The most recent proof of income must be dated within the last 15 days of the date of application. Applicants paid </w:t>
      </w:r>
      <w:r w:rsidRPr="000B11F3">
        <w:rPr>
          <w:rFonts w:ascii="Ink Free" w:hAnsi="Ink Free"/>
          <w:color w:val="000000"/>
          <w:shd w:val="clear" w:color="auto" w:fill="FCFCFC"/>
        </w:rPr>
        <w:t>monthly</w:t>
      </w:r>
      <w:r w:rsidRPr="000B11F3">
        <w:rPr>
          <w:rFonts w:ascii="Ink Free" w:hAnsi="Ink Free"/>
          <w:color w:val="000000"/>
          <w:shd w:val="clear" w:color="auto" w:fill="FCFCFC"/>
        </w:rPr>
        <w:t xml:space="preserve"> will be asked to supply two (2) months’ worth of income for consistency of pay evaluation.</w:t>
      </w:r>
      <w:r>
        <w:rPr>
          <w:rFonts w:ascii="Ink Free" w:hAnsi="Ink Free"/>
          <w:color w:val="000000"/>
          <w:shd w:val="clear" w:color="auto" w:fill="FCFCFC"/>
        </w:rPr>
        <w:t xml:space="preserve"> TRU Mgmt.</w:t>
      </w:r>
      <w:r w:rsidRPr="000B11F3">
        <w:rPr>
          <w:rFonts w:ascii="Ink Free" w:hAnsi="Ink Free"/>
          <w:color w:val="000000"/>
          <w:shd w:val="clear" w:color="auto" w:fill="FCFCFC"/>
        </w:rPr>
        <w:t xml:space="preserve"> may request additional proof of income if documents provided are insufficient. Any falsified documents will result in a denial.</w:t>
      </w:r>
    </w:p>
    <w:p w14:paraId="32CEC13C" w14:textId="4AA90ACE" w:rsidR="00F70F50" w:rsidRDefault="00F70F50" w:rsidP="00F70F50">
      <w:pPr>
        <w:spacing w:line="240" w:lineRule="auto"/>
        <w:rPr>
          <w:rFonts w:ascii="Ink Free" w:hAnsi="Ink Free"/>
          <w:color w:val="000000"/>
          <w:shd w:val="clear" w:color="auto" w:fill="FCFCFC"/>
        </w:rPr>
      </w:pPr>
      <w:r>
        <w:rPr>
          <w:rFonts w:ascii="Ink Free" w:hAnsi="Ink Free"/>
          <w:b/>
          <w:bCs/>
          <w:color w:val="000000"/>
          <w:shd w:val="clear" w:color="auto" w:fill="FCFCFC"/>
        </w:rPr>
        <w:t xml:space="preserve">Self-Employment: </w:t>
      </w:r>
      <w:r w:rsidRPr="00F70F50">
        <w:rPr>
          <w:rFonts w:ascii="Ink Free" w:hAnsi="Ink Free"/>
          <w:color w:val="000000"/>
          <w:shd w:val="clear" w:color="auto" w:fill="FCFCFC"/>
        </w:rPr>
        <w:t>Three consecutive months of full bank statements</w:t>
      </w:r>
      <w:r>
        <w:rPr>
          <w:rFonts w:ascii="Ink Free" w:hAnsi="Ink Free"/>
          <w:color w:val="000000"/>
          <w:shd w:val="clear" w:color="auto" w:fill="FCFCFC"/>
        </w:rPr>
        <w:t xml:space="preserve">: </w:t>
      </w:r>
      <w:r w:rsidRPr="00F70F50">
        <w:rPr>
          <w:rFonts w:ascii="Ink Free" w:hAnsi="Ink Free"/>
          <w:color w:val="000000"/>
          <w:shd w:val="clear" w:color="auto" w:fill="FCFCFC"/>
        </w:rPr>
        <w:t>Must provide a detailed version, including transactions. Applicant’s name must be included on bank statements, and the source of income name must be listed as direct deposit</w:t>
      </w:r>
      <w:r>
        <w:rPr>
          <w:rFonts w:ascii="Ink Free" w:hAnsi="Ink Free"/>
          <w:color w:val="000000"/>
          <w:shd w:val="clear" w:color="auto" w:fill="FCFCFC"/>
        </w:rPr>
        <w:t xml:space="preserve">. TRU Mgmt. may request W-2 or additional documentation for verification purposes. </w:t>
      </w:r>
    </w:p>
    <w:p w14:paraId="68F821E7" w14:textId="0ADF14C3" w:rsidR="00983E21" w:rsidRPr="00A9051B" w:rsidRDefault="00983E21" w:rsidP="00A9051B">
      <w:pPr>
        <w:spacing w:line="240" w:lineRule="auto"/>
        <w:rPr>
          <w:rFonts w:ascii="Ink Free" w:hAnsi="Ink Free"/>
          <w:color w:val="000000"/>
          <w:shd w:val="clear" w:color="auto" w:fill="FCFCFC"/>
        </w:rPr>
      </w:pPr>
      <w:r w:rsidRPr="00983E21">
        <w:rPr>
          <w:rFonts w:ascii="Ink Free" w:hAnsi="Ink Free"/>
          <w:b/>
          <w:bCs/>
          <w:color w:val="000000"/>
          <w:shd w:val="clear" w:color="auto" w:fill="FCFCFC"/>
        </w:rPr>
        <w:t>Additional Income Sources</w:t>
      </w:r>
      <w:r w:rsidRPr="00983E21">
        <w:rPr>
          <w:rFonts w:ascii="Ink Free" w:hAnsi="Ink Free"/>
          <w:color w:val="000000"/>
          <w:shd w:val="clear" w:color="auto" w:fill="FCFCFC"/>
        </w:rPr>
        <w:t>: Social Security Benefits, Child Support, Alimony, Disability, Retirement, Pensions, VA Benefits and Bank Statements (complete) are accepted. Items containing redacted or otherwise altered information are subject to additional verification</w:t>
      </w:r>
    </w:p>
    <w:p w14:paraId="32A1255B" w14:textId="00C269F5" w:rsidR="00720BBA" w:rsidRPr="00720BBA" w:rsidRDefault="00720BBA" w:rsidP="00A9051B">
      <w:pPr>
        <w:spacing w:line="240" w:lineRule="auto"/>
        <w:rPr>
          <w:rFonts w:ascii="Ink Free" w:hAnsi="Ink Free"/>
          <w:b/>
          <w:bCs/>
          <w:sz w:val="32"/>
          <w:szCs w:val="32"/>
        </w:rPr>
      </w:pPr>
      <w:r w:rsidRPr="00720BBA">
        <w:rPr>
          <w:rFonts w:ascii="Ink Free" w:hAnsi="Ink Free"/>
          <w:b/>
          <w:bCs/>
          <w:sz w:val="32"/>
          <w:szCs w:val="32"/>
        </w:rPr>
        <w:t>Credit report</w:t>
      </w:r>
    </w:p>
    <w:p w14:paraId="6B22F0F8" w14:textId="5561B44D" w:rsidR="00720BBA" w:rsidRPr="00720BBA" w:rsidRDefault="00720BBA" w:rsidP="00A9051B">
      <w:pPr>
        <w:spacing w:line="240" w:lineRule="auto"/>
        <w:rPr>
          <w:rFonts w:ascii="Ink Free" w:hAnsi="Ink Free"/>
        </w:rPr>
      </w:pPr>
      <w:r w:rsidRPr="00720BBA">
        <w:rPr>
          <w:rFonts w:ascii="Ink Free" w:hAnsi="Ink Free"/>
        </w:rPr>
        <w:t xml:space="preserve">During the application process, a credit report will be obtained for all leaseholder applicants to verify credit history and credit score. Credit report results, in addition to applicant’s income, will collectively determine rental eligibility, security deposit and any other conditions that may be required </w:t>
      </w:r>
      <w:r w:rsidRPr="00720BBA">
        <w:rPr>
          <w:rFonts w:ascii="Ink Free" w:hAnsi="Ink Free"/>
        </w:rPr>
        <w:t>to</w:t>
      </w:r>
      <w:r w:rsidRPr="00720BBA">
        <w:rPr>
          <w:rFonts w:ascii="Ink Free" w:hAnsi="Ink Free"/>
        </w:rPr>
        <w:t xml:space="preserve"> </w:t>
      </w:r>
      <w:r>
        <w:rPr>
          <w:rFonts w:ascii="Ink Free" w:hAnsi="Ink Free"/>
        </w:rPr>
        <w:t>offer</w:t>
      </w:r>
      <w:r w:rsidRPr="00720BBA">
        <w:rPr>
          <w:rFonts w:ascii="Ink Free" w:hAnsi="Ink Free"/>
        </w:rPr>
        <w:t xml:space="preserve"> a lease agreement.</w:t>
      </w:r>
    </w:p>
    <w:p w14:paraId="63C51A0D" w14:textId="77777777" w:rsidR="00720BBA" w:rsidRPr="00720BBA" w:rsidRDefault="00720BBA" w:rsidP="00A9051B">
      <w:pPr>
        <w:spacing w:line="240" w:lineRule="auto"/>
        <w:rPr>
          <w:rFonts w:ascii="Ink Free" w:hAnsi="Ink Free"/>
        </w:rPr>
      </w:pPr>
      <w:r w:rsidRPr="00720BBA">
        <w:rPr>
          <w:rFonts w:ascii="Ink Free" w:hAnsi="Ink Free"/>
        </w:rPr>
        <w:lastRenderedPageBreak/>
        <w:t>The three possible screening results are as follows:</w:t>
      </w:r>
    </w:p>
    <w:p w14:paraId="6358F97D" w14:textId="77777777" w:rsidR="00720BBA" w:rsidRPr="00720BBA" w:rsidRDefault="00720BBA" w:rsidP="00A9051B">
      <w:pPr>
        <w:spacing w:line="240" w:lineRule="auto"/>
        <w:rPr>
          <w:rFonts w:ascii="Ink Free" w:hAnsi="Ink Free"/>
        </w:rPr>
      </w:pPr>
      <w:r w:rsidRPr="00720BBA">
        <w:rPr>
          <w:rFonts w:ascii="Ink Free" w:hAnsi="Ink Free"/>
          <w:b/>
          <w:bCs/>
          <w:i/>
          <w:iCs/>
        </w:rPr>
        <w:t>Approval</w:t>
      </w:r>
      <w:r w:rsidRPr="00720BBA">
        <w:rPr>
          <w:rFonts w:ascii="Ink Free" w:hAnsi="Ink Free"/>
        </w:rPr>
        <w:t>,</w:t>
      </w:r>
    </w:p>
    <w:p w14:paraId="6768224D" w14:textId="7D4F3942" w:rsidR="00720BBA" w:rsidRPr="00720BBA" w:rsidRDefault="00720BBA" w:rsidP="00A9051B">
      <w:pPr>
        <w:spacing w:line="240" w:lineRule="auto"/>
        <w:rPr>
          <w:rFonts w:ascii="Ink Free" w:hAnsi="Ink Free"/>
        </w:rPr>
      </w:pPr>
      <w:r w:rsidRPr="00A9051B">
        <w:rPr>
          <w:rFonts w:ascii="Ink Free" w:hAnsi="Ink Free"/>
          <w:b/>
          <w:bCs/>
          <w:i/>
          <w:iCs/>
        </w:rPr>
        <w:t xml:space="preserve">Approval with </w:t>
      </w:r>
      <w:r w:rsidR="00A9051B" w:rsidRPr="00A9051B">
        <w:rPr>
          <w:rFonts w:ascii="Ink Free" w:hAnsi="Ink Free"/>
          <w:b/>
          <w:bCs/>
          <w:i/>
          <w:iCs/>
        </w:rPr>
        <w:t>Conditions,</w:t>
      </w:r>
      <w:r w:rsidR="00A9051B">
        <w:rPr>
          <w:rFonts w:ascii="Ink Free" w:hAnsi="Ink Free"/>
        </w:rPr>
        <w:t xml:space="preserve"> </w:t>
      </w:r>
      <w:r w:rsidRPr="00720BBA">
        <w:rPr>
          <w:rFonts w:ascii="Ink Free" w:hAnsi="Ink Free"/>
        </w:rPr>
        <w:t>an additional security deposit of one-half to a full month’s rent may be required (subject to be applicable by law)</w:t>
      </w:r>
    </w:p>
    <w:p w14:paraId="20F8C169" w14:textId="04CE869E" w:rsidR="00720BBA" w:rsidRPr="00720BBA" w:rsidRDefault="00720BBA" w:rsidP="00A9051B">
      <w:pPr>
        <w:spacing w:line="240" w:lineRule="auto"/>
        <w:rPr>
          <w:rFonts w:ascii="Ink Free" w:hAnsi="Ink Free"/>
          <w:b/>
          <w:bCs/>
          <w:i/>
          <w:iCs/>
        </w:rPr>
      </w:pPr>
      <w:r w:rsidRPr="00720BBA">
        <w:rPr>
          <w:rFonts w:ascii="Ink Free" w:hAnsi="Ink Free"/>
          <w:b/>
          <w:bCs/>
          <w:i/>
          <w:iCs/>
        </w:rPr>
        <w:t>Denial.</w:t>
      </w:r>
      <w:r w:rsidR="000B11F3">
        <w:rPr>
          <w:rFonts w:ascii="Ink Free" w:hAnsi="Ink Free"/>
          <w:b/>
          <w:bCs/>
          <w:i/>
          <w:iCs/>
        </w:rPr>
        <w:t xml:space="preserve"> </w:t>
      </w:r>
      <w:r w:rsidR="000B11F3" w:rsidRPr="000B11F3">
        <w:rPr>
          <w:rFonts w:ascii="Ink Free" w:hAnsi="Ink Free"/>
          <w:b/>
          <w:bCs/>
          <w:i/>
          <w:iCs/>
          <w:sz w:val="20"/>
          <w:szCs w:val="20"/>
        </w:rPr>
        <w:t>*</w:t>
      </w:r>
      <w:r w:rsidR="000B11F3" w:rsidRPr="000B11F3">
        <w:rPr>
          <w:sz w:val="20"/>
          <w:szCs w:val="20"/>
        </w:rPr>
        <w:t xml:space="preserve"> </w:t>
      </w:r>
      <w:r w:rsidR="000B11F3" w:rsidRPr="000B11F3">
        <w:rPr>
          <w:rFonts w:ascii="Ink Free" w:hAnsi="Ink Free"/>
          <w:b/>
          <w:bCs/>
          <w:i/>
          <w:iCs/>
          <w:sz w:val="20"/>
          <w:szCs w:val="20"/>
        </w:rPr>
        <w:t xml:space="preserve">Applicants </w:t>
      </w:r>
      <w:r w:rsidR="000B11F3">
        <w:rPr>
          <w:rFonts w:ascii="Ink Free" w:hAnsi="Ink Free"/>
          <w:b/>
          <w:bCs/>
          <w:i/>
          <w:iCs/>
          <w:sz w:val="20"/>
          <w:szCs w:val="20"/>
        </w:rPr>
        <w:t>may be</w:t>
      </w:r>
      <w:r w:rsidR="000B11F3" w:rsidRPr="000B11F3">
        <w:rPr>
          <w:rFonts w:ascii="Ink Free" w:hAnsi="Ink Free"/>
          <w:b/>
          <w:bCs/>
          <w:i/>
          <w:iCs/>
          <w:sz w:val="20"/>
          <w:szCs w:val="20"/>
        </w:rPr>
        <w:t xml:space="preserve"> subject to further verification at the request of a </w:t>
      </w:r>
      <w:r w:rsidR="000B11F3" w:rsidRPr="000B11F3">
        <w:rPr>
          <w:rFonts w:ascii="Ink Free" w:hAnsi="Ink Free"/>
          <w:b/>
          <w:bCs/>
          <w:i/>
          <w:iCs/>
          <w:sz w:val="20"/>
          <w:szCs w:val="20"/>
        </w:rPr>
        <w:t>TRU Mgmt.</w:t>
      </w:r>
      <w:r w:rsidR="000B11F3" w:rsidRPr="000B11F3">
        <w:rPr>
          <w:rFonts w:ascii="Ink Free" w:hAnsi="Ink Free"/>
          <w:b/>
          <w:bCs/>
          <w:i/>
          <w:iCs/>
          <w:sz w:val="20"/>
          <w:szCs w:val="20"/>
        </w:rPr>
        <w:t xml:space="preserve"> representative.</w:t>
      </w:r>
    </w:p>
    <w:p w14:paraId="0220A008" w14:textId="77777777" w:rsidR="00720BBA" w:rsidRPr="00720BBA" w:rsidRDefault="00720BBA" w:rsidP="00A9051B">
      <w:pPr>
        <w:spacing w:line="240" w:lineRule="auto"/>
        <w:rPr>
          <w:rFonts w:ascii="Ink Free" w:hAnsi="Ink Free"/>
        </w:rPr>
      </w:pPr>
      <w:r w:rsidRPr="00720BBA">
        <w:rPr>
          <w:rFonts w:ascii="Ink Free" w:hAnsi="Ink Free"/>
        </w:rPr>
        <w:t>Factors that can negatively affect rental eligibility per the results of a credit report include, but are not limited to, the following:</w:t>
      </w:r>
    </w:p>
    <w:p w14:paraId="38A7FFF0" w14:textId="77777777" w:rsidR="00720BBA" w:rsidRPr="00720BBA" w:rsidRDefault="00720BBA" w:rsidP="00A9051B">
      <w:pPr>
        <w:spacing w:line="240" w:lineRule="auto"/>
        <w:rPr>
          <w:rFonts w:ascii="Ink Free" w:hAnsi="Ink Free"/>
        </w:rPr>
      </w:pPr>
    </w:p>
    <w:p w14:paraId="20127A66" w14:textId="57C87C94" w:rsidR="00720BBA" w:rsidRPr="00A9051B" w:rsidRDefault="00720BBA" w:rsidP="00A9051B">
      <w:pPr>
        <w:pStyle w:val="ListParagraph"/>
        <w:numPr>
          <w:ilvl w:val="0"/>
          <w:numId w:val="3"/>
        </w:numPr>
        <w:spacing w:line="240" w:lineRule="auto"/>
        <w:rPr>
          <w:rFonts w:ascii="Ink Free" w:hAnsi="Ink Free"/>
        </w:rPr>
      </w:pPr>
      <w:r w:rsidRPr="00A9051B">
        <w:rPr>
          <w:rFonts w:ascii="Ink Free" w:hAnsi="Ink Free"/>
        </w:rPr>
        <w:t>Credit history</w:t>
      </w:r>
    </w:p>
    <w:p w14:paraId="218608D3" w14:textId="4C4DD7BB" w:rsidR="00A9051B" w:rsidRPr="00A9051B" w:rsidRDefault="00A9051B" w:rsidP="00A9051B">
      <w:pPr>
        <w:pStyle w:val="ListParagraph"/>
        <w:numPr>
          <w:ilvl w:val="0"/>
          <w:numId w:val="3"/>
        </w:numPr>
        <w:spacing w:line="240" w:lineRule="auto"/>
        <w:rPr>
          <w:rFonts w:ascii="Ink Free" w:hAnsi="Ink Free"/>
        </w:rPr>
      </w:pPr>
      <w:r w:rsidRPr="00A9051B">
        <w:rPr>
          <w:rFonts w:ascii="Ink Free" w:hAnsi="Ink Free"/>
        </w:rPr>
        <w:t>Payment history</w:t>
      </w:r>
    </w:p>
    <w:p w14:paraId="52472300" w14:textId="77777777" w:rsidR="00A9051B" w:rsidRPr="00A9051B" w:rsidRDefault="00A9051B" w:rsidP="00A9051B">
      <w:pPr>
        <w:pStyle w:val="ListParagraph"/>
        <w:numPr>
          <w:ilvl w:val="0"/>
          <w:numId w:val="3"/>
        </w:numPr>
        <w:spacing w:line="240" w:lineRule="auto"/>
        <w:rPr>
          <w:rFonts w:ascii="Ink Free" w:hAnsi="Ink Free"/>
        </w:rPr>
      </w:pPr>
      <w:r w:rsidRPr="00A9051B">
        <w:rPr>
          <w:rFonts w:ascii="Ink Free" w:hAnsi="Ink Free"/>
        </w:rPr>
        <w:t>Prior Landlord / Tenant evictions</w:t>
      </w:r>
    </w:p>
    <w:p w14:paraId="7FEE6E39" w14:textId="56AA76C3" w:rsidR="00720BBA" w:rsidRPr="00A9051B" w:rsidRDefault="00720BBA" w:rsidP="00A9051B">
      <w:pPr>
        <w:pStyle w:val="ListParagraph"/>
        <w:numPr>
          <w:ilvl w:val="0"/>
          <w:numId w:val="3"/>
        </w:numPr>
        <w:spacing w:line="240" w:lineRule="auto"/>
        <w:rPr>
          <w:rFonts w:ascii="Ink Free" w:hAnsi="Ink Free"/>
        </w:rPr>
      </w:pPr>
      <w:r w:rsidRPr="00A9051B">
        <w:rPr>
          <w:rFonts w:ascii="Ink Free" w:hAnsi="Ink Free"/>
        </w:rPr>
        <w:t xml:space="preserve">High debt </w:t>
      </w:r>
      <w:r w:rsidR="00A9051B" w:rsidRPr="00A9051B">
        <w:rPr>
          <w:rFonts w:ascii="Ink Free" w:hAnsi="Ink Free"/>
        </w:rPr>
        <w:t xml:space="preserve">ratio/ </w:t>
      </w:r>
      <w:r w:rsidR="00A9051B" w:rsidRPr="00A9051B">
        <w:rPr>
          <w:rFonts w:ascii="Ink Free" w:hAnsi="Ink Free"/>
        </w:rPr>
        <w:t>Delinquencies</w:t>
      </w:r>
    </w:p>
    <w:p w14:paraId="2DBB957B" w14:textId="38EB4561" w:rsidR="00720BBA" w:rsidRDefault="00720BBA" w:rsidP="00A9051B">
      <w:pPr>
        <w:pStyle w:val="ListParagraph"/>
        <w:numPr>
          <w:ilvl w:val="0"/>
          <w:numId w:val="3"/>
        </w:numPr>
        <w:spacing w:line="240" w:lineRule="auto"/>
        <w:rPr>
          <w:rFonts w:ascii="Ink Free" w:hAnsi="Ink Free"/>
        </w:rPr>
      </w:pPr>
      <w:r w:rsidRPr="00A9051B">
        <w:rPr>
          <w:rFonts w:ascii="Ink Free" w:hAnsi="Ink Free"/>
        </w:rPr>
        <w:t>Collection accounts</w:t>
      </w:r>
      <w:r w:rsidR="00A9051B" w:rsidRPr="00A9051B">
        <w:rPr>
          <w:rFonts w:ascii="Ink Free" w:hAnsi="Ink Free"/>
        </w:rPr>
        <w:t>/ derogatory remarks</w:t>
      </w:r>
    </w:p>
    <w:p w14:paraId="34D1641E" w14:textId="4FDB6A05" w:rsidR="000B11F3" w:rsidRPr="00A9051B" w:rsidRDefault="000B11F3" w:rsidP="00A9051B">
      <w:pPr>
        <w:pStyle w:val="ListParagraph"/>
        <w:numPr>
          <w:ilvl w:val="0"/>
          <w:numId w:val="3"/>
        </w:numPr>
        <w:spacing w:line="240" w:lineRule="auto"/>
        <w:rPr>
          <w:rFonts w:ascii="Ink Free" w:hAnsi="Ink Free"/>
        </w:rPr>
      </w:pPr>
      <w:r w:rsidRPr="000B11F3">
        <w:rPr>
          <w:rFonts w:ascii="Ink Free" w:hAnsi="Ink Free"/>
        </w:rPr>
        <w:t>Current Open Bankruptcies (Chapter 7 or 13) will result in an automatic denial.</w:t>
      </w:r>
    </w:p>
    <w:p w14:paraId="103B83FF" w14:textId="22CF6B90" w:rsidR="00720BBA" w:rsidRPr="009C227F" w:rsidRDefault="00720BBA" w:rsidP="00A9051B">
      <w:pPr>
        <w:spacing w:line="240" w:lineRule="auto"/>
        <w:rPr>
          <w:rFonts w:ascii="Ink Free" w:hAnsi="Ink Free"/>
        </w:rPr>
      </w:pPr>
    </w:p>
    <w:p w14:paraId="45C6B9A5" w14:textId="77777777" w:rsidR="009C227F" w:rsidRPr="009C227F" w:rsidRDefault="009C227F" w:rsidP="009C227F">
      <w:pPr>
        <w:spacing w:line="240" w:lineRule="auto"/>
        <w:rPr>
          <w:rFonts w:ascii="Ink Free" w:hAnsi="Ink Free"/>
          <w:b/>
          <w:bCs/>
          <w:sz w:val="32"/>
          <w:szCs w:val="32"/>
        </w:rPr>
      </w:pPr>
      <w:r w:rsidRPr="009C227F">
        <w:rPr>
          <w:rFonts w:ascii="Ink Free" w:hAnsi="Ink Free"/>
          <w:b/>
          <w:bCs/>
          <w:sz w:val="32"/>
          <w:szCs w:val="32"/>
        </w:rPr>
        <w:t>Falsification of Application</w:t>
      </w:r>
    </w:p>
    <w:p w14:paraId="4384CCB6" w14:textId="7C1BD970" w:rsidR="009C227F" w:rsidRDefault="009C227F" w:rsidP="009C227F">
      <w:pPr>
        <w:spacing w:line="240" w:lineRule="auto"/>
        <w:rPr>
          <w:rFonts w:ascii="Ink Free" w:hAnsi="Ink Free"/>
        </w:rPr>
      </w:pPr>
      <w:r w:rsidRPr="009C227F">
        <w:rPr>
          <w:rFonts w:ascii="Ink Free" w:hAnsi="Ink Free"/>
        </w:rPr>
        <w:t xml:space="preserve">Any falsified information provided in Applicant’s paperwork will result in the automatic termination and denial of Application. If after the Lease Agreement is executed, it is discovered that the information disclosed during the application process was falsified or incomplete, </w:t>
      </w:r>
      <w:r>
        <w:rPr>
          <w:rFonts w:ascii="Ink Free" w:hAnsi="Ink Free"/>
        </w:rPr>
        <w:t>TRU Mgmt.</w:t>
      </w:r>
      <w:r w:rsidRPr="009C227F">
        <w:rPr>
          <w:rFonts w:ascii="Ink Free" w:hAnsi="Ink Free"/>
        </w:rPr>
        <w:t xml:space="preserve"> can immediately terminate the existing Lease Agreement.</w:t>
      </w:r>
    </w:p>
    <w:p w14:paraId="0A5E443D" w14:textId="67064411" w:rsidR="00983E21" w:rsidRDefault="00983E21" w:rsidP="00A9051B">
      <w:pPr>
        <w:spacing w:line="240" w:lineRule="auto"/>
        <w:rPr>
          <w:rFonts w:ascii="Ink Free" w:hAnsi="Ink Free"/>
          <w:b/>
          <w:bCs/>
          <w:sz w:val="32"/>
          <w:szCs w:val="32"/>
        </w:rPr>
      </w:pPr>
      <w:r>
        <w:rPr>
          <w:rFonts w:ascii="Ink Free" w:hAnsi="Ink Free"/>
          <w:b/>
          <w:bCs/>
          <w:sz w:val="32"/>
          <w:szCs w:val="32"/>
        </w:rPr>
        <w:t xml:space="preserve">Renters Insurance </w:t>
      </w:r>
    </w:p>
    <w:p w14:paraId="766E1C69" w14:textId="521052CF" w:rsidR="00983E21" w:rsidRDefault="00983E21" w:rsidP="00A9051B">
      <w:pPr>
        <w:spacing w:line="240" w:lineRule="auto"/>
        <w:rPr>
          <w:rFonts w:ascii="Ink Free" w:hAnsi="Ink Free"/>
        </w:rPr>
      </w:pPr>
      <w:r w:rsidRPr="00983E21">
        <w:rPr>
          <w:rFonts w:ascii="Ink Free" w:hAnsi="Ink Free"/>
        </w:rPr>
        <w:t>E</w:t>
      </w:r>
      <w:r>
        <w:rPr>
          <w:rFonts w:ascii="Ink Free" w:hAnsi="Ink Free"/>
        </w:rPr>
        <w:t>very</w:t>
      </w:r>
      <w:r w:rsidRPr="00983E21">
        <w:rPr>
          <w:rFonts w:ascii="Ink Free" w:hAnsi="Ink Free"/>
        </w:rPr>
        <w:t xml:space="preserve"> Resident is required to provide evidence of a minimum of $100,000.00 personal liability insurance policy prior to their move-in date, which must remain in effect throughout the entire lease term.</w:t>
      </w:r>
    </w:p>
    <w:p w14:paraId="3C773F52" w14:textId="09E6D1A0" w:rsidR="00F70F50" w:rsidRPr="00F70F50" w:rsidRDefault="00F70F50" w:rsidP="00F70F50">
      <w:pPr>
        <w:spacing w:line="240" w:lineRule="auto"/>
        <w:rPr>
          <w:rFonts w:ascii="Ink Free" w:hAnsi="Ink Free"/>
          <w:b/>
          <w:bCs/>
          <w:sz w:val="32"/>
          <w:szCs w:val="32"/>
        </w:rPr>
      </w:pPr>
      <w:r>
        <w:rPr>
          <w:rFonts w:ascii="Ink Free" w:hAnsi="Ink Free"/>
          <w:b/>
          <w:bCs/>
          <w:sz w:val="32"/>
          <w:szCs w:val="32"/>
        </w:rPr>
        <w:t xml:space="preserve">Fair </w:t>
      </w:r>
      <w:r w:rsidRPr="00F70F50">
        <w:rPr>
          <w:rFonts w:ascii="Ink Free" w:hAnsi="Ink Free"/>
          <w:b/>
          <w:bCs/>
          <w:sz w:val="32"/>
          <w:szCs w:val="32"/>
        </w:rPr>
        <w:t xml:space="preserve">Housing </w:t>
      </w:r>
    </w:p>
    <w:p w14:paraId="45C506DA" w14:textId="055B0351" w:rsidR="00F70F50" w:rsidRPr="00F70F50" w:rsidRDefault="00F70F50" w:rsidP="00F70F50">
      <w:pPr>
        <w:spacing w:line="240" w:lineRule="auto"/>
        <w:rPr>
          <w:rFonts w:ascii="Ink Free" w:hAnsi="Ink Free"/>
        </w:rPr>
      </w:pPr>
      <w:r>
        <w:rPr>
          <w:rFonts w:ascii="Ink Free" w:hAnsi="Ink Free"/>
        </w:rPr>
        <w:t>TRU Mgmt.</w:t>
      </w:r>
      <w:r w:rsidRPr="00F70F50">
        <w:rPr>
          <w:rFonts w:ascii="Ink Free" w:hAnsi="Ink Free"/>
        </w:rPr>
        <w:t xml:space="preserve"> </w:t>
      </w:r>
      <w:r>
        <w:rPr>
          <w:rFonts w:ascii="Ink Free" w:hAnsi="Ink Free"/>
        </w:rPr>
        <w:t xml:space="preserve">follows </w:t>
      </w:r>
      <w:r w:rsidRPr="00F70F50">
        <w:rPr>
          <w:rFonts w:ascii="Ink Free" w:hAnsi="Ink Free"/>
        </w:rPr>
        <w:t xml:space="preserve">all applicable state and federal fair housing laws, including, without limitation, the Fair Housing Act (Title VIII of the Civil Rights Act of 1968, as amended), for the achievement of equal housing opportunities for all rental applicants. We </w:t>
      </w:r>
      <w:r>
        <w:rPr>
          <w:rFonts w:ascii="Ink Free" w:hAnsi="Ink Free"/>
        </w:rPr>
        <w:t>embrace</w:t>
      </w:r>
      <w:r w:rsidRPr="00F70F50">
        <w:rPr>
          <w:rFonts w:ascii="Ink Free" w:hAnsi="Ink Free"/>
        </w:rPr>
        <w:t xml:space="preserve"> and support an affirmative advertising, </w:t>
      </w:r>
      <w:r w:rsidR="000F7F27" w:rsidRPr="00F70F50">
        <w:rPr>
          <w:rFonts w:ascii="Ink Free" w:hAnsi="Ink Free"/>
        </w:rPr>
        <w:t>marketing,</w:t>
      </w:r>
      <w:r w:rsidRPr="00F70F50">
        <w:rPr>
          <w:rFonts w:ascii="Ink Free" w:hAnsi="Ink Free"/>
        </w:rPr>
        <w:t xml:space="preserve"> and rental program in which there are no barriers to obtaining or enjoying housing b</w:t>
      </w:r>
      <w:r>
        <w:rPr>
          <w:rFonts w:ascii="Ink Free" w:hAnsi="Ink Free"/>
        </w:rPr>
        <w:t>ased</w:t>
      </w:r>
      <w:r w:rsidRPr="00F70F50">
        <w:rPr>
          <w:rFonts w:ascii="Ink Free" w:hAnsi="Ink Free"/>
        </w:rPr>
        <w:t xml:space="preserve"> o</w:t>
      </w:r>
      <w:r>
        <w:rPr>
          <w:rFonts w:ascii="Ink Free" w:hAnsi="Ink Free"/>
        </w:rPr>
        <w:t>n</w:t>
      </w:r>
      <w:r w:rsidRPr="00F70F50">
        <w:rPr>
          <w:rFonts w:ascii="Ink Free" w:hAnsi="Ink Free"/>
        </w:rPr>
        <w:t xml:space="preserve"> race, color, religion, sex, handicap (disability), familial status, national origin or any other class of persons recognized under any applicable federal, </w:t>
      </w:r>
      <w:r w:rsidR="000F7F27" w:rsidRPr="00F70F50">
        <w:rPr>
          <w:rFonts w:ascii="Ink Free" w:hAnsi="Ink Free"/>
        </w:rPr>
        <w:t>state,</w:t>
      </w:r>
      <w:r w:rsidRPr="00F70F50">
        <w:rPr>
          <w:rFonts w:ascii="Ink Free" w:hAnsi="Ink Free"/>
        </w:rPr>
        <w:t xml:space="preserve"> or local laws, </w:t>
      </w:r>
      <w:r w:rsidR="000F7F27" w:rsidRPr="00F70F50">
        <w:rPr>
          <w:rFonts w:ascii="Ink Free" w:hAnsi="Ink Free"/>
        </w:rPr>
        <w:t>rules,</w:t>
      </w:r>
      <w:r w:rsidRPr="00F70F50">
        <w:rPr>
          <w:rFonts w:ascii="Ink Free" w:hAnsi="Ink Free"/>
        </w:rPr>
        <w:t xml:space="preserve"> or regulations. </w:t>
      </w:r>
    </w:p>
    <w:p w14:paraId="57459E19" w14:textId="77777777" w:rsidR="00F70F50" w:rsidRPr="00E13A68" w:rsidRDefault="00F70F50" w:rsidP="00A9051B">
      <w:pPr>
        <w:spacing w:line="240" w:lineRule="auto"/>
        <w:rPr>
          <w:rFonts w:ascii="Ink Free" w:hAnsi="Ink Free"/>
        </w:rPr>
      </w:pPr>
    </w:p>
    <w:sectPr w:rsidR="00F70F50" w:rsidRPr="00E13A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BE996" w14:textId="77777777" w:rsidR="005C5AAE" w:rsidRDefault="005C5AAE" w:rsidP="000F7F27">
      <w:pPr>
        <w:spacing w:after="0" w:line="240" w:lineRule="auto"/>
      </w:pPr>
      <w:r>
        <w:separator/>
      </w:r>
    </w:p>
  </w:endnote>
  <w:endnote w:type="continuationSeparator" w:id="0">
    <w:p w14:paraId="34F52BE7" w14:textId="77777777" w:rsidR="005C5AAE" w:rsidRDefault="005C5AAE" w:rsidP="000F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F"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25D0" w14:textId="77777777" w:rsidR="005C5AAE" w:rsidRDefault="005C5AAE" w:rsidP="000F7F27">
      <w:pPr>
        <w:spacing w:after="0" w:line="240" w:lineRule="auto"/>
      </w:pPr>
      <w:r>
        <w:separator/>
      </w:r>
    </w:p>
  </w:footnote>
  <w:footnote w:type="continuationSeparator" w:id="0">
    <w:p w14:paraId="65C0D882" w14:textId="77777777" w:rsidR="005C5AAE" w:rsidRDefault="005C5AAE" w:rsidP="000F7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4C58" w14:textId="77777777" w:rsidR="000F7F27" w:rsidRDefault="000F7F27" w:rsidP="000F7F27">
    <w:pPr>
      <w:spacing w:line="240" w:lineRule="auto"/>
      <w:jc w:val="center"/>
      <w:rPr>
        <w:rFonts w:ascii="Ink Free" w:hAnsi="Ink Free"/>
        <w:b/>
        <w:bCs/>
        <w:color w:val="000000"/>
        <w:sz w:val="32"/>
        <w:szCs w:val="32"/>
        <w:shd w:val="clear" w:color="auto" w:fill="FCFCFC"/>
      </w:rPr>
    </w:pPr>
    <w:r>
      <w:rPr>
        <w:rFonts w:ascii="Ink Free" w:hAnsi="Ink Free"/>
        <w:b/>
        <w:bCs/>
        <w:color w:val="000000"/>
        <w:sz w:val="32"/>
        <w:szCs w:val="32"/>
        <w:shd w:val="clear" w:color="auto" w:fill="FCFCFC"/>
      </w:rPr>
      <w:t>Rental Selection Criteria</w:t>
    </w:r>
  </w:p>
  <w:p w14:paraId="0E1A1603" w14:textId="77777777" w:rsidR="000F7F27" w:rsidRDefault="000F7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F93"/>
    <w:multiLevelType w:val="hybridMultilevel"/>
    <w:tmpl w:val="EE3AE25C"/>
    <w:lvl w:ilvl="0" w:tplc="1A98B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D27CD"/>
    <w:multiLevelType w:val="hybridMultilevel"/>
    <w:tmpl w:val="AFF02E4C"/>
    <w:lvl w:ilvl="0" w:tplc="1A98B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E122B"/>
    <w:multiLevelType w:val="hybridMultilevel"/>
    <w:tmpl w:val="561C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97223">
    <w:abstractNumId w:val="1"/>
  </w:num>
  <w:num w:numId="2" w16cid:durableId="829519486">
    <w:abstractNumId w:val="0"/>
  </w:num>
  <w:num w:numId="3" w16cid:durableId="1007827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53"/>
    <w:rsid w:val="00084C84"/>
    <w:rsid w:val="000B11F3"/>
    <w:rsid w:val="000F7F27"/>
    <w:rsid w:val="001B0F82"/>
    <w:rsid w:val="005C5AAE"/>
    <w:rsid w:val="00720BBA"/>
    <w:rsid w:val="009045A3"/>
    <w:rsid w:val="00983E21"/>
    <w:rsid w:val="009C227F"/>
    <w:rsid w:val="00A9051B"/>
    <w:rsid w:val="00AB3453"/>
    <w:rsid w:val="00E13A68"/>
    <w:rsid w:val="00F7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A7EC"/>
  <w15:chartTrackingRefBased/>
  <w15:docId w15:val="{8B1F0F86-5143-4AC6-8BF5-9C7F2A6C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453"/>
    <w:pPr>
      <w:ind w:left="720"/>
      <w:contextualSpacing/>
    </w:pPr>
  </w:style>
  <w:style w:type="paragraph" w:styleId="Header">
    <w:name w:val="header"/>
    <w:basedOn w:val="Normal"/>
    <w:link w:val="HeaderChar"/>
    <w:uiPriority w:val="99"/>
    <w:unhideWhenUsed/>
    <w:rsid w:val="000F7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27"/>
  </w:style>
  <w:style w:type="paragraph" w:styleId="Footer">
    <w:name w:val="footer"/>
    <w:basedOn w:val="Normal"/>
    <w:link w:val="FooterChar"/>
    <w:uiPriority w:val="99"/>
    <w:unhideWhenUsed/>
    <w:rsid w:val="000F7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349309">
      <w:bodyDiv w:val="1"/>
      <w:marLeft w:val="0"/>
      <w:marRight w:val="0"/>
      <w:marTop w:val="0"/>
      <w:marBottom w:val="0"/>
      <w:divBdr>
        <w:top w:val="none" w:sz="0" w:space="0" w:color="auto"/>
        <w:left w:val="none" w:sz="0" w:space="0" w:color="auto"/>
        <w:bottom w:val="none" w:sz="0" w:space="0" w:color="auto"/>
        <w:right w:val="none" w:sz="0" w:space="0" w:color="auto"/>
      </w:divBdr>
    </w:div>
    <w:div w:id="621889225">
      <w:bodyDiv w:val="1"/>
      <w:marLeft w:val="0"/>
      <w:marRight w:val="0"/>
      <w:marTop w:val="0"/>
      <w:marBottom w:val="0"/>
      <w:divBdr>
        <w:top w:val="none" w:sz="0" w:space="0" w:color="auto"/>
        <w:left w:val="none" w:sz="0" w:space="0" w:color="auto"/>
        <w:bottom w:val="none" w:sz="0" w:space="0" w:color="auto"/>
        <w:right w:val="none" w:sz="0" w:space="0" w:color="auto"/>
      </w:divBdr>
      <w:divsChild>
        <w:div w:id="1063212495">
          <w:marLeft w:val="0"/>
          <w:marRight w:val="0"/>
          <w:marTop w:val="0"/>
          <w:marBottom w:val="720"/>
          <w:divBdr>
            <w:top w:val="none" w:sz="0" w:space="0" w:color="auto"/>
            <w:left w:val="none" w:sz="0" w:space="0" w:color="auto"/>
            <w:bottom w:val="none" w:sz="0" w:space="0" w:color="auto"/>
            <w:right w:val="none" w:sz="0" w:space="0" w:color="auto"/>
          </w:divBdr>
        </w:div>
        <w:div w:id="1113405254">
          <w:marLeft w:val="0"/>
          <w:marRight w:val="0"/>
          <w:marTop w:val="0"/>
          <w:marBottom w:val="720"/>
          <w:divBdr>
            <w:top w:val="none" w:sz="0" w:space="0" w:color="auto"/>
            <w:left w:val="none" w:sz="0" w:space="0" w:color="auto"/>
            <w:bottom w:val="none" w:sz="0" w:space="0" w:color="auto"/>
            <w:right w:val="none" w:sz="0" w:space="0" w:color="auto"/>
          </w:divBdr>
        </w:div>
        <w:div w:id="273099240">
          <w:marLeft w:val="0"/>
          <w:marRight w:val="0"/>
          <w:marTop w:val="0"/>
          <w:marBottom w:val="720"/>
          <w:divBdr>
            <w:top w:val="none" w:sz="0" w:space="0" w:color="auto"/>
            <w:left w:val="none" w:sz="0" w:space="0" w:color="auto"/>
            <w:bottom w:val="none" w:sz="0" w:space="0" w:color="auto"/>
            <w:right w:val="none" w:sz="0" w:space="0" w:color="auto"/>
          </w:divBdr>
        </w:div>
        <w:div w:id="719401972">
          <w:marLeft w:val="0"/>
          <w:marRight w:val="0"/>
          <w:marTop w:val="0"/>
          <w:marBottom w:val="720"/>
          <w:divBdr>
            <w:top w:val="none" w:sz="0" w:space="0" w:color="auto"/>
            <w:left w:val="none" w:sz="0" w:space="0" w:color="auto"/>
            <w:bottom w:val="none" w:sz="0" w:space="0" w:color="auto"/>
            <w:right w:val="none" w:sz="0" w:space="0" w:color="auto"/>
          </w:divBdr>
        </w:div>
        <w:div w:id="960648126">
          <w:marLeft w:val="0"/>
          <w:marRight w:val="0"/>
          <w:marTop w:val="0"/>
          <w:marBottom w:val="720"/>
          <w:divBdr>
            <w:top w:val="none" w:sz="0" w:space="0" w:color="auto"/>
            <w:left w:val="none" w:sz="0" w:space="0" w:color="auto"/>
            <w:bottom w:val="none" w:sz="0" w:space="0" w:color="auto"/>
            <w:right w:val="none" w:sz="0" w:space="0" w:color="auto"/>
          </w:divBdr>
        </w:div>
        <w:div w:id="112479791">
          <w:marLeft w:val="0"/>
          <w:marRight w:val="0"/>
          <w:marTop w:val="0"/>
          <w:marBottom w:val="720"/>
          <w:divBdr>
            <w:top w:val="none" w:sz="0" w:space="0" w:color="auto"/>
            <w:left w:val="none" w:sz="0" w:space="0" w:color="auto"/>
            <w:bottom w:val="none" w:sz="0" w:space="0" w:color="auto"/>
            <w:right w:val="none" w:sz="0" w:space="0" w:color="auto"/>
          </w:divBdr>
        </w:div>
        <w:div w:id="1680041349">
          <w:marLeft w:val="0"/>
          <w:marRight w:val="0"/>
          <w:marTop w:val="0"/>
          <w:marBottom w:val="720"/>
          <w:divBdr>
            <w:top w:val="none" w:sz="0" w:space="0" w:color="auto"/>
            <w:left w:val="none" w:sz="0" w:space="0" w:color="auto"/>
            <w:bottom w:val="none" w:sz="0" w:space="0" w:color="auto"/>
            <w:right w:val="none" w:sz="0" w:space="0" w:color="auto"/>
          </w:divBdr>
        </w:div>
        <w:div w:id="880745504">
          <w:marLeft w:val="0"/>
          <w:marRight w:val="0"/>
          <w:marTop w:val="0"/>
          <w:marBottom w:val="720"/>
          <w:divBdr>
            <w:top w:val="none" w:sz="0" w:space="0" w:color="auto"/>
            <w:left w:val="none" w:sz="0" w:space="0" w:color="auto"/>
            <w:bottom w:val="none" w:sz="0" w:space="0" w:color="auto"/>
            <w:right w:val="none" w:sz="0" w:space="0" w:color="auto"/>
          </w:divBdr>
        </w:div>
        <w:div w:id="169226137">
          <w:marLeft w:val="0"/>
          <w:marRight w:val="0"/>
          <w:marTop w:val="0"/>
          <w:marBottom w:val="720"/>
          <w:divBdr>
            <w:top w:val="none" w:sz="0" w:space="0" w:color="auto"/>
            <w:left w:val="none" w:sz="0" w:space="0" w:color="auto"/>
            <w:bottom w:val="none" w:sz="0" w:space="0" w:color="auto"/>
            <w:right w:val="none" w:sz="0" w:space="0" w:color="auto"/>
          </w:divBdr>
        </w:div>
        <w:div w:id="1667324969">
          <w:marLeft w:val="0"/>
          <w:marRight w:val="0"/>
          <w:marTop w:val="0"/>
          <w:marBottom w:val="720"/>
          <w:divBdr>
            <w:top w:val="none" w:sz="0" w:space="0" w:color="auto"/>
            <w:left w:val="none" w:sz="0" w:space="0" w:color="auto"/>
            <w:bottom w:val="none" w:sz="0" w:space="0" w:color="auto"/>
            <w:right w:val="none" w:sz="0" w:space="0" w:color="auto"/>
          </w:divBdr>
        </w:div>
        <w:div w:id="398331863">
          <w:marLeft w:val="0"/>
          <w:marRight w:val="0"/>
          <w:marTop w:val="0"/>
          <w:marBottom w:val="720"/>
          <w:divBdr>
            <w:top w:val="none" w:sz="0" w:space="0" w:color="auto"/>
            <w:left w:val="none" w:sz="0" w:space="0" w:color="auto"/>
            <w:bottom w:val="none" w:sz="0" w:space="0" w:color="auto"/>
            <w:right w:val="none" w:sz="0" w:space="0" w:color="auto"/>
          </w:divBdr>
        </w:div>
        <w:div w:id="1103111576">
          <w:marLeft w:val="0"/>
          <w:marRight w:val="0"/>
          <w:marTop w:val="0"/>
          <w:marBottom w:val="720"/>
          <w:divBdr>
            <w:top w:val="none" w:sz="0" w:space="0" w:color="auto"/>
            <w:left w:val="none" w:sz="0" w:space="0" w:color="auto"/>
            <w:bottom w:val="none" w:sz="0" w:space="0" w:color="auto"/>
            <w:right w:val="none" w:sz="0" w:space="0" w:color="auto"/>
          </w:divBdr>
        </w:div>
        <w:div w:id="982778551">
          <w:marLeft w:val="0"/>
          <w:marRight w:val="0"/>
          <w:marTop w:val="0"/>
          <w:marBottom w:val="720"/>
          <w:divBdr>
            <w:top w:val="none" w:sz="0" w:space="0" w:color="auto"/>
            <w:left w:val="none" w:sz="0" w:space="0" w:color="auto"/>
            <w:bottom w:val="none" w:sz="0" w:space="0" w:color="auto"/>
            <w:right w:val="none" w:sz="0" w:space="0" w:color="auto"/>
          </w:divBdr>
        </w:div>
        <w:div w:id="148444174">
          <w:marLeft w:val="0"/>
          <w:marRight w:val="0"/>
          <w:marTop w:val="0"/>
          <w:marBottom w:val="720"/>
          <w:divBdr>
            <w:top w:val="none" w:sz="0" w:space="0" w:color="auto"/>
            <w:left w:val="none" w:sz="0" w:space="0" w:color="auto"/>
            <w:bottom w:val="none" w:sz="0" w:space="0" w:color="auto"/>
            <w:right w:val="none" w:sz="0" w:space="0" w:color="auto"/>
          </w:divBdr>
        </w:div>
        <w:div w:id="1494056774">
          <w:marLeft w:val="0"/>
          <w:marRight w:val="0"/>
          <w:marTop w:val="0"/>
          <w:marBottom w:val="720"/>
          <w:divBdr>
            <w:top w:val="none" w:sz="0" w:space="0" w:color="auto"/>
            <w:left w:val="none" w:sz="0" w:space="0" w:color="auto"/>
            <w:bottom w:val="none" w:sz="0" w:space="0" w:color="auto"/>
            <w:right w:val="none" w:sz="0" w:space="0" w:color="auto"/>
          </w:divBdr>
        </w:div>
        <w:div w:id="1765764640">
          <w:marLeft w:val="0"/>
          <w:marRight w:val="0"/>
          <w:marTop w:val="0"/>
          <w:marBottom w:val="720"/>
          <w:divBdr>
            <w:top w:val="none" w:sz="0" w:space="0" w:color="auto"/>
            <w:left w:val="none" w:sz="0" w:space="0" w:color="auto"/>
            <w:bottom w:val="none" w:sz="0" w:space="0" w:color="auto"/>
            <w:right w:val="none" w:sz="0" w:space="0" w:color="auto"/>
          </w:divBdr>
        </w:div>
        <w:div w:id="676008484">
          <w:marLeft w:val="0"/>
          <w:marRight w:val="0"/>
          <w:marTop w:val="0"/>
          <w:marBottom w:val="720"/>
          <w:divBdr>
            <w:top w:val="none" w:sz="0" w:space="0" w:color="auto"/>
            <w:left w:val="none" w:sz="0" w:space="0" w:color="auto"/>
            <w:bottom w:val="none" w:sz="0" w:space="0" w:color="auto"/>
            <w:right w:val="none" w:sz="0" w:space="0" w:color="auto"/>
          </w:divBdr>
        </w:div>
        <w:div w:id="1763915716">
          <w:marLeft w:val="0"/>
          <w:marRight w:val="0"/>
          <w:marTop w:val="0"/>
          <w:marBottom w:val="720"/>
          <w:divBdr>
            <w:top w:val="none" w:sz="0" w:space="0" w:color="auto"/>
            <w:left w:val="none" w:sz="0" w:space="0" w:color="auto"/>
            <w:bottom w:val="none" w:sz="0" w:space="0" w:color="auto"/>
            <w:right w:val="none" w:sz="0" w:space="0" w:color="auto"/>
          </w:divBdr>
        </w:div>
        <w:div w:id="2015766611">
          <w:marLeft w:val="0"/>
          <w:marRight w:val="0"/>
          <w:marTop w:val="0"/>
          <w:marBottom w:val="720"/>
          <w:divBdr>
            <w:top w:val="none" w:sz="0" w:space="0" w:color="auto"/>
            <w:left w:val="none" w:sz="0" w:space="0" w:color="auto"/>
            <w:bottom w:val="none" w:sz="0" w:space="0" w:color="auto"/>
            <w:right w:val="none" w:sz="0" w:space="0" w:color="auto"/>
          </w:divBdr>
        </w:div>
        <w:div w:id="469978899">
          <w:marLeft w:val="0"/>
          <w:marRight w:val="0"/>
          <w:marTop w:val="0"/>
          <w:marBottom w:val="720"/>
          <w:divBdr>
            <w:top w:val="none" w:sz="0" w:space="0" w:color="auto"/>
            <w:left w:val="none" w:sz="0" w:space="0" w:color="auto"/>
            <w:bottom w:val="none" w:sz="0" w:space="0" w:color="auto"/>
            <w:right w:val="none" w:sz="0" w:space="0" w:color="auto"/>
          </w:divBdr>
        </w:div>
      </w:divsChild>
    </w:div>
    <w:div w:id="14549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Miller</dc:creator>
  <cp:keywords/>
  <dc:description/>
  <cp:lastModifiedBy>Kristie Miller</cp:lastModifiedBy>
  <cp:revision>3</cp:revision>
  <dcterms:created xsi:type="dcterms:W3CDTF">2022-04-16T17:17:00Z</dcterms:created>
  <dcterms:modified xsi:type="dcterms:W3CDTF">2022-04-16T19:19:00Z</dcterms:modified>
</cp:coreProperties>
</file>